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DCF" w:rsidRPr="001D1DCF" w:rsidRDefault="001D1DCF" w:rsidP="001D1DCF">
      <w:pPr>
        <w:spacing w:before="100" w:beforeAutospacing="1" w:after="120" w:line="240" w:lineRule="auto"/>
        <w:outlineLvl w:val="0"/>
        <w:rPr>
          <w:rFonts w:ascii="Times New Roman" w:eastAsia="Times New Roman" w:hAnsi="Times New Roman" w:cs="Times New Roman"/>
          <w:b/>
          <w:bCs/>
          <w:color w:val="1B1C1D"/>
          <w:kern w:val="36"/>
          <w:sz w:val="48"/>
          <w:szCs w:val="48"/>
          <w:lang w:eastAsia="en-IN"/>
        </w:rPr>
      </w:pPr>
      <w:r w:rsidRPr="001D1DCF">
        <w:rPr>
          <w:rFonts w:ascii="Times New Roman" w:eastAsia="Times New Roman" w:hAnsi="Times New Roman" w:cs="Times New Roman"/>
          <w:b/>
          <w:bCs/>
          <w:color w:val="1B1C1D"/>
          <w:kern w:val="36"/>
          <w:sz w:val="48"/>
          <w:szCs w:val="48"/>
          <w:lang w:eastAsia="en-IN"/>
        </w:rPr>
        <w:t>MLM-CRM Integration Industry Trends and Future Outlook Analysis</w:t>
      </w:r>
    </w:p>
    <w:p w:rsidR="001D1DCF" w:rsidRPr="001D1DCF" w:rsidRDefault="001D1DCF" w:rsidP="001D1DCF">
      <w:pPr>
        <w:spacing w:before="100" w:beforeAutospacing="1" w:after="120" w:line="240" w:lineRule="auto"/>
        <w:outlineLvl w:val="1"/>
        <w:rPr>
          <w:rFonts w:ascii="Times New Roman" w:eastAsia="Times New Roman" w:hAnsi="Times New Roman" w:cs="Times New Roman"/>
          <w:b/>
          <w:bCs/>
          <w:color w:val="1B1C1D"/>
          <w:sz w:val="36"/>
          <w:szCs w:val="36"/>
          <w:lang w:eastAsia="en-IN"/>
        </w:rPr>
      </w:pPr>
      <w:r w:rsidRPr="001D1DCF">
        <w:rPr>
          <w:rFonts w:ascii="Times New Roman" w:eastAsia="Times New Roman" w:hAnsi="Times New Roman" w:cs="Times New Roman"/>
          <w:b/>
          <w:bCs/>
          <w:color w:val="1B1C1D"/>
          <w:sz w:val="36"/>
          <w:szCs w:val="36"/>
          <w:lang w:eastAsia="en-IN"/>
        </w:rPr>
        <w:t>Detailed Analysis</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Key Insights</w:t>
      </w:r>
    </w:p>
    <w:p w:rsidR="001D1DCF" w:rsidRPr="001D1DCF" w:rsidRDefault="001D1DCF" w:rsidP="001D1DCF">
      <w:pPr>
        <w:spacing w:before="100" w:beforeAutospacing="1"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The MLM-CRM integration landscape through 2030 is being reshaped by five critical technology trends: </w:t>
      </w:r>
      <w:r w:rsidRPr="001D1DCF">
        <w:rPr>
          <w:rFonts w:ascii="Times New Roman" w:eastAsia="Times New Roman" w:hAnsi="Times New Roman" w:cs="Times New Roman"/>
          <w:b/>
          <w:bCs/>
          <w:color w:val="1B1C1D"/>
          <w:sz w:val="24"/>
          <w:szCs w:val="24"/>
          <w:bdr w:val="none" w:sz="0" w:space="0" w:color="auto" w:frame="1"/>
          <w:lang w:eastAsia="en-IN"/>
        </w:rPr>
        <w:t xml:space="preserve">AI/Generative AI, </w:t>
      </w:r>
      <w:proofErr w:type="spellStart"/>
      <w:r w:rsidRPr="001D1DCF">
        <w:rPr>
          <w:rFonts w:ascii="Times New Roman" w:eastAsia="Times New Roman" w:hAnsi="Times New Roman" w:cs="Times New Roman"/>
          <w:b/>
          <w:bCs/>
          <w:color w:val="1B1C1D"/>
          <w:sz w:val="24"/>
          <w:szCs w:val="24"/>
          <w:bdr w:val="none" w:sz="0" w:space="0" w:color="auto" w:frame="1"/>
          <w:lang w:eastAsia="en-IN"/>
        </w:rPr>
        <w:t>Blockchain</w:t>
      </w:r>
      <w:proofErr w:type="spellEnd"/>
      <w:r w:rsidRPr="001D1DCF">
        <w:rPr>
          <w:rFonts w:ascii="Times New Roman" w:eastAsia="Times New Roman" w:hAnsi="Times New Roman" w:cs="Times New Roman"/>
          <w:b/>
          <w:bCs/>
          <w:color w:val="1B1C1D"/>
          <w:sz w:val="24"/>
          <w:szCs w:val="24"/>
          <w:bdr w:val="none" w:sz="0" w:space="0" w:color="auto" w:frame="1"/>
          <w:lang w:eastAsia="en-IN"/>
        </w:rPr>
        <w:t xml:space="preserve">, AR/VR, </w:t>
      </w:r>
      <w:proofErr w:type="spellStart"/>
      <w:r w:rsidRPr="001D1DCF">
        <w:rPr>
          <w:rFonts w:ascii="Times New Roman" w:eastAsia="Times New Roman" w:hAnsi="Times New Roman" w:cs="Times New Roman"/>
          <w:b/>
          <w:bCs/>
          <w:color w:val="1B1C1D"/>
          <w:sz w:val="24"/>
          <w:szCs w:val="24"/>
          <w:bdr w:val="none" w:sz="0" w:space="0" w:color="auto" w:frame="1"/>
          <w:lang w:eastAsia="en-IN"/>
        </w:rPr>
        <w:t>IoT</w:t>
      </w:r>
      <w:proofErr w:type="spellEnd"/>
      <w:r w:rsidRPr="001D1DCF">
        <w:rPr>
          <w:rFonts w:ascii="Times New Roman" w:eastAsia="Times New Roman" w:hAnsi="Times New Roman" w:cs="Times New Roman"/>
          <w:b/>
          <w:bCs/>
          <w:color w:val="1B1C1D"/>
          <w:sz w:val="24"/>
          <w:szCs w:val="24"/>
          <w:bdr w:val="none" w:sz="0" w:space="0" w:color="auto" w:frame="1"/>
          <w:lang w:eastAsia="en-IN"/>
        </w:rPr>
        <w:t xml:space="preserve"> &amp; Big Data, and Cloud Computing</w:t>
      </w:r>
      <w:r w:rsidRPr="001D1DCF">
        <w:rPr>
          <w:rFonts w:ascii="Times New Roman" w:eastAsia="Times New Roman" w:hAnsi="Times New Roman" w:cs="Times New Roman"/>
          <w:color w:val="1B1C1D"/>
          <w:sz w:val="24"/>
          <w:szCs w:val="24"/>
          <w:lang w:eastAsia="en-IN"/>
        </w:rPr>
        <w:t xml:space="preserve">. These technologies are driving automation, transparency, personalization, and scalability, while regulatory compliance (GDPR, CCPA, FTC, EU DSA, </w:t>
      </w:r>
      <w:proofErr w:type="gramStart"/>
      <w:r w:rsidRPr="001D1DCF">
        <w:rPr>
          <w:rFonts w:ascii="Times New Roman" w:eastAsia="Times New Roman" w:hAnsi="Times New Roman" w:cs="Times New Roman"/>
          <w:color w:val="1B1C1D"/>
          <w:sz w:val="24"/>
          <w:szCs w:val="24"/>
          <w:lang w:eastAsia="en-IN"/>
        </w:rPr>
        <w:t>UK</w:t>
      </w:r>
      <w:proofErr w:type="gramEnd"/>
      <w:r w:rsidRPr="001D1DCF">
        <w:rPr>
          <w:rFonts w:ascii="Times New Roman" w:eastAsia="Times New Roman" w:hAnsi="Times New Roman" w:cs="Times New Roman"/>
          <w:color w:val="1B1C1D"/>
          <w:sz w:val="24"/>
          <w:szCs w:val="24"/>
          <w:lang w:eastAsia="en-IN"/>
        </w:rPr>
        <w:t xml:space="preserve"> Trading Schemes) is evolving from a constraint to a strategic advantage.</w:t>
      </w:r>
    </w:p>
    <w:p w:rsidR="001D1DCF" w:rsidRPr="001D1DCF" w:rsidRDefault="001D1DCF" w:rsidP="001D1DCF">
      <w:pPr>
        <w:spacing w:before="100" w:beforeAutospacing="1"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The market is experiencing both consolidation among leading vendors and fragmentation with niche solutions, influenced by strong Asia-Pacific growth, generational shifts, and the rise of the creator economy. Successful strategies will require </w:t>
      </w:r>
      <w:r w:rsidRPr="001D1DCF">
        <w:rPr>
          <w:rFonts w:ascii="Times New Roman" w:eastAsia="Times New Roman" w:hAnsi="Times New Roman" w:cs="Times New Roman"/>
          <w:b/>
          <w:bCs/>
          <w:color w:val="1B1C1D"/>
          <w:sz w:val="24"/>
          <w:szCs w:val="24"/>
          <w:bdr w:val="none" w:sz="0" w:space="0" w:color="auto" w:frame="1"/>
          <w:lang w:eastAsia="en-IN"/>
        </w:rPr>
        <w:t>compliance leadership, data-driven personalization, ESG focus, and agile technology adoption</w:t>
      </w:r>
      <w:r w:rsidRPr="001D1DCF">
        <w:rPr>
          <w:rFonts w:ascii="Times New Roman" w:eastAsia="Times New Roman" w:hAnsi="Times New Roman" w:cs="Times New Roman"/>
          <w:color w:val="1B1C1D"/>
          <w:sz w:val="24"/>
          <w:szCs w:val="24"/>
          <w:lang w:eastAsia="en-IN"/>
        </w:rPr>
        <w:t>.</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Methodology &amp; Process Outline</w:t>
      </w:r>
    </w:p>
    <w:p w:rsidR="001D1DCF" w:rsidRPr="001D1DCF" w:rsidRDefault="001D1DCF" w:rsidP="001D1DCF">
      <w:pPr>
        <w:spacing w:before="100" w:beforeAutospacing="1" w:after="24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Analysis prioritized the identification and synthesis of the most impactful technology trends, competitive/regulatory dynamics, market structure, demographic influences, and strategic outlook. Data was filtered for industry-wide adoption rates, growth forecasts, compliance mandates, and expert perspectives. Comparative tables were constructed to consolidate findings and support direct, actionable intelligence.</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Table 1: Top 5 Technology Trends Reshaping MLM-CRM Integration (2025–2030)</w:t>
      </w:r>
    </w:p>
    <w:tbl>
      <w:tblPr>
        <w:tblW w:w="0" w:type="auto"/>
        <w:tblCellSpacing w:w="15" w:type="dxa"/>
        <w:tblCellMar>
          <w:left w:w="0" w:type="dxa"/>
          <w:right w:w="0" w:type="dxa"/>
        </w:tblCellMar>
        <w:tblLook w:val="04A0"/>
      </w:tblPr>
      <w:tblGrid>
        <w:gridCol w:w="1511"/>
        <w:gridCol w:w="1379"/>
        <w:gridCol w:w="1780"/>
        <w:gridCol w:w="1446"/>
        <w:gridCol w:w="1836"/>
        <w:gridCol w:w="1524"/>
      </w:tblGrid>
      <w:tr w:rsidR="001D1DCF" w:rsidRPr="001D1DCF" w:rsidTr="001D1DC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Trend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Adoption Rate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Impact on MLM-CRM</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Growth Forecast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Competitive Value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Key Indicator</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AI / Generative AI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65% (2024), 81% (2025)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Automation, predictive analytics, personalization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46.5% CAGR (</w:t>
            </w:r>
            <w:proofErr w:type="spellStart"/>
            <w:r w:rsidRPr="001D1DCF">
              <w:rPr>
                <w:rFonts w:ascii="Times New Roman" w:eastAsia="Times New Roman" w:hAnsi="Times New Roman" w:cs="Times New Roman"/>
                <w:color w:val="1B1C1D"/>
                <w:sz w:val="24"/>
                <w:szCs w:val="24"/>
                <w:lang w:eastAsia="en-IN"/>
              </w:rPr>
              <w:t>GenAI</w:t>
            </w:r>
            <w:proofErr w:type="spellEnd"/>
            <w:r w:rsidRPr="001D1DCF">
              <w:rPr>
                <w:rFonts w:ascii="Times New Roman" w:eastAsia="Times New Roman" w:hAnsi="Times New Roman" w:cs="Times New Roman"/>
                <w:color w:val="1B1C1D"/>
                <w:sz w:val="24"/>
                <w:szCs w:val="24"/>
                <w:lang w:eastAsia="en-IN"/>
              </w:rPr>
              <w:t xml:space="preserve"> 2025–2030)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Field enablement, compliance automation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AI-driven CRM/MLM platforms</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proofErr w:type="spellStart"/>
            <w:r w:rsidRPr="001D1DCF">
              <w:rPr>
                <w:rFonts w:ascii="Times New Roman" w:eastAsia="Times New Roman" w:hAnsi="Times New Roman" w:cs="Times New Roman"/>
                <w:b/>
                <w:bCs/>
                <w:color w:val="1B1C1D"/>
                <w:sz w:val="24"/>
                <w:szCs w:val="24"/>
                <w:bdr w:val="none" w:sz="0" w:space="0" w:color="auto" w:frame="1"/>
                <w:lang w:eastAsia="en-IN"/>
              </w:rPr>
              <w:t>Blockchain</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Early, 90.1% CAGR (2025–2030)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Transparency, payout automation, </w:t>
            </w:r>
            <w:proofErr w:type="spellStart"/>
            <w:r w:rsidRPr="001D1DCF">
              <w:rPr>
                <w:rFonts w:ascii="Times New Roman" w:eastAsia="Times New Roman" w:hAnsi="Times New Roman" w:cs="Times New Roman"/>
                <w:color w:val="1B1C1D"/>
                <w:sz w:val="24"/>
                <w:szCs w:val="24"/>
                <w:lang w:eastAsia="en-IN"/>
              </w:rPr>
              <w:t>auditability</w:t>
            </w:r>
            <w:proofErr w:type="spellEnd"/>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High, supply chain &amp; compliance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Trust, fraud reduction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Smart contracts, traceability</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AR/VR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78% influence </w:t>
            </w:r>
            <w:r w:rsidRPr="001D1DCF">
              <w:rPr>
                <w:rFonts w:ascii="Times New Roman" w:eastAsia="Times New Roman" w:hAnsi="Times New Roman" w:cs="Times New Roman"/>
                <w:color w:val="1B1C1D"/>
                <w:sz w:val="24"/>
                <w:szCs w:val="24"/>
                <w:lang w:eastAsia="en-IN"/>
              </w:rPr>
              <w:lastRenderedPageBreak/>
              <w:t>buying decisions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lastRenderedPageBreak/>
              <w:t xml:space="preserve">Immersive training, </w:t>
            </w:r>
            <w:r w:rsidRPr="001D1DCF">
              <w:rPr>
                <w:rFonts w:ascii="Times New Roman" w:eastAsia="Times New Roman" w:hAnsi="Times New Roman" w:cs="Times New Roman"/>
                <w:color w:val="1B1C1D"/>
                <w:sz w:val="24"/>
                <w:szCs w:val="24"/>
                <w:lang w:eastAsia="en-IN"/>
              </w:rPr>
              <w:lastRenderedPageBreak/>
              <w:t>product demos, customer engagement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lastRenderedPageBreak/>
              <w:t xml:space="preserve">31.5% CAGR </w:t>
            </w:r>
            <w:r w:rsidRPr="001D1DCF">
              <w:rPr>
                <w:rFonts w:ascii="Times New Roman" w:eastAsia="Times New Roman" w:hAnsi="Times New Roman" w:cs="Times New Roman"/>
                <w:color w:val="1B1C1D"/>
                <w:sz w:val="24"/>
                <w:szCs w:val="24"/>
                <w:lang w:eastAsia="en-IN"/>
              </w:rPr>
              <w:lastRenderedPageBreak/>
              <w:t>(AR 2023–2026)</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lastRenderedPageBreak/>
              <w:t>Experience differentiation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Virtual try-</w:t>
            </w:r>
            <w:proofErr w:type="spellStart"/>
            <w:r w:rsidRPr="001D1DCF">
              <w:rPr>
                <w:rFonts w:ascii="Times New Roman" w:eastAsia="Times New Roman" w:hAnsi="Times New Roman" w:cs="Times New Roman"/>
                <w:color w:val="1B1C1D"/>
                <w:sz w:val="24"/>
                <w:szCs w:val="24"/>
                <w:lang w:eastAsia="en-IN"/>
              </w:rPr>
              <w:t>ons</w:t>
            </w:r>
            <w:proofErr w:type="spellEnd"/>
            <w:r w:rsidRPr="001D1DCF">
              <w:rPr>
                <w:rFonts w:ascii="Times New Roman" w:eastAsia="Times New Roman" w:hAnsi="Times New Roman" w:cs="Times New Roman"/>
                <w:color w:val="1B1C1D"/>
                <w:sz w:val="24"/>
                <w:szCs w:val="24"/>
                <w:lang w:eastAsia="en-IN"/>
              </w:rPr>
              <w:t xml:space="preserve">, VR </w:t>
            </w:r>
            <w:proofErr w:type="spellStart"/>
            <w:r w:rsidRPr="001D1DCF">
              <w:rPr>
                <w:rFonts w:ascii="Times New Roman" w:eastAsia="Times New Roman" w:hAnsi="Times New Roman" w:cs="Times New Roman"/>
                <w:color w:val="1B1C1D"/>
                <w:sz w:val="24"/>
                <w:szCs w:val="24"/>
                <w:lang w:eastAsia="en-IN"/>
              </w:rPr>
              <w:lastRenderedPageBreak/>
              <w:t>onboarding</w:t>
            </w:r>
            <w:proofErr w:type="spellEnd"/>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proofErr w:type="spellStart"/>
            <w:r w:rsidRPr="001D1DCF">
              <w:rPr>
                <w:rFonts w:ascii="Times New Roman" w:eastAsia="Times New Roman" w:hAnsi="Times New Roman" w:cs="Times New Roman"/>
                <w:b/>
                <w:bCs/>
                <w:color w:val="1B1C1D"/>
                <w:sz w:val="24"/>
                <w:szCs w:val="24"/>
                <w:bdr w:val="none" w:sz="0" w:space="0" w:color="auto" w:frame="1"/>
                <w:lang w:eastAsia="en-IN"/>
              </w:rPr>
              <w:lastRenderedPageBreak/>
              <w:t>IoT</w:t>
            </w:r>
            <w:proofErr w:type="spellEnd"/>
            <w:r w:rsidRPr="001D1DCF">
              <w:rPr>
                <w:rFonts w:ascii="Times New Roman" w:eastAsia="Times New Roman" w:hAnsi="Times New Roman" w:cs="Times New Roman"/>
                <w:b/>
                <w:bCs/>
                <w:color w:val="1B1C1D"/>
                <w:sz w:val="24"/>
                <w:szCs w:val="24"/>
                <w:bdr w:val="none" w:sz="0" w:space="0" w:color="auto" w:frame="1"/>
                <w:lang w:eastAsia="en-IN"/>
              </w:rPr>
              <w:t xml:space="preserve"> &amp; Big Data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Rapid expansion, 30B devices by 2030</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Personalized offers, inventory optimization, churn prediction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High, real-time data flows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Hyper-personalization, operational efficiency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Connected devices, analytics dashboards</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Cloud Computing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86% adoption (2024)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Scalability, remote ops, compliance support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13.9% CRM CAGR (2024–2032)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Global reach, cost savings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Cloud-native CRM/MLM solutions</w:t>
            </w:r>
          </w:p>
        </w:tc>
      </w:tr>
    </w:tbl>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Table 2: Regulatory Compliance—Competitive Advantage vs. Constraint</w:t>
      </w:r>
    </w:p>
    <w:tbl>
      <w:tblPr>
        <w:tblW w:w="0" w:type="auto"/>
        <w:tblCellSpacing w:w="15" w:type="dxa"/>
        <w:tblCellMar>
          <w:left w:w="0" w:type="dxa"/>
          <w:right w:w="0" w:type="dxa"/>
        </w:tblCellMar>
        <w:tblLook w:val="04A0"/>
      </w:tblPr>
      <w:tblGrid>
        <w:gridCol w:w="2292"/>
        <w:gridCol w:w="1822"/>
        <w:gridCol w:w="1686"/>
        <w:gridCol w:w="1484"/>
        <w:gridCol w:w="2192"/>
      </w:tblGrid>
      <w:tr w:rsidR="001D1DCF" w:rsidRPr="001D1DCF" w:rsidTr="001D1DC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Regulation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Constraint (</w:t>
            </w:r>
            <w:r w:rsidRPr="001D1DCF">
              <w:rPr>
                <w:rFonts w:ascii="MS Mincho" w:eastAsia="MS Mincho" w:hAnsi="MS Mincho" w:cs="MS Mincho"/>
                <w:color w:val="1B1C1D"/>
                <w:sz w:val="24"/>
                <w:szCs w:val="24"/>
                <w:lang w:eastAsia="en-IN"/>
              </w:rPr>
              <w:t>✗</w:t>
            </w:r>
            <w:r w:rsidRPr="001D1DCF">
              <w:rPr>
                <w:rFonts w:ascii="Times New Roman" w:eastAsia="Times New Roman" w:hAnsi="Times New Roman" w:cs="Times New Roman"/>
                <w:color w:val="1B1C1D"/>
                <w:sz w:val="24"/>
                <w:szCs w:val="24"/>
                <w:lang w:eastAsia="en-IN"/>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Advantage (</w:t>
            </w:r>
            <w:r w:rsidRPr="001D1DCF">
              <w:rPr>
                <w:rFonts w:ascii="MS Mincho" w:eastAsia="MS Mincho" w:hAnsi="MS Mincho" w:cs="MS Mincho"/>
                <w:color w:val="1B1C1D"/>
                <w:sz w:val="24"/>
                <w:szCs w:val="24"/>
                <w:lang w:eastAsia="en-IN"/>
              </w:rPr>
              <w:t>✓</w:t>
            </w:r>
            <w:r w:rsidRPr="001D1DCF">
              <w:rPr>
                <w:rFonts w:ascii="Times New Roman" w:eastAsia="Times New Roman" w:hAnsi="Times New Roman" w:cs="Times New Roman"/>
                <w:color w:val="1B1C1D"/>
                <w:sz w:val="24"/>
                <w:szCs w:val="24"/>
                <w:lang w:eastAsia="en-IN"/>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Strategic Leverage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Industry Impact</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GDPR/CCPA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Data management costs, fines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Trust, market access, brand differentiation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Zero-party data, privacy dashboards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Required for EU/US growth, cross-border ops</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FTC Earnings Rules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Real-time substantiation, penalties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Public dashboards, field trust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AI-powered claim monitoring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Reduces litigation, boosts credibility</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EU Digital Services Act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Content moderation, platform bans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Clean brand, influencer partnerships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Automated content compliance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Protects against social backlash</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UK Trading Schemes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Spend caps, criminal liability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Transparent </w:t>
            </w:r>
            <w:proofErr w:type="spellStart"/>
            <w:r w:rsidRPr="001D1DCF">
              <w:rPr>
                <w:rFonts w:ascii="Times New Roman" w:eastAsia="Times New Roman" w:hAnsi="Times New Roman" w:cs="Times New Roman"/>
                <w:color w:val="1B1C1D"/>
                <w:sz w:val="24"/>
                <w:szCs w:val="24"/>
                <w:lang w:eastAsia="en-IN"/>
              </w:rPr>
              <w:t>onboarding</w:t>
            </w:r>
            <w:proofErr w:type="spellEnd"/>
            <w:r w:rsidRPr="001D1DCF">
              <w:rPr>
                <w:rFonts w:ascii="Times New Roman" w:eastAsia="Times New Roman" w:hAnsi="Times New Roman" w:cs="Times New Roman"/>
                <w:color w:val="1B1C1D"/>
                <w:sz w:val="24"/>
                <w:szCs w:val="24"/>
                <w:lang w:eastAsia="en-IN"/>
              </w:rPr>
              <w:t>, retail focus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Simplified comp plans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Attracts values-driven reps</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lastRenderedPageBreak/>
              <w:t>Data Encryption/Privacy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Implementation overhead</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Competitive security, audit trail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proofErr w:type="spellStart"/>
            <w:r w:rsidRPr="001D1DCF">
              <w:rPr>
                <w:rFonts w:ascii="Times New Roman" w:eastAsia="Times New Roman" w:hAnsi="Times New Roman" w:cs="Times New Roman"/>
                <w:color w:val="1B1C1D"/>
                <w:sz w:val="24"/>
                <w:szCs w:val="24"/>
                <w:lang w:eastAsia="en-IN"/>
              </w:rPr>
              <w:t>Blockchain</w:t>
            </w:r>
            <w:proofErr w:type="spellEnd"/>
            <w:r w:rsidRPr="001D1DCF">
              <w:rPr>
                <w:rFonts w:ascii="Times New Roman" w:eastAsia="Times New Roman" w:hAnsi="Times New Roman" w:cs="Times New Roman"/>
                <w:color w:val="1B1C1D"/>
                <w:sz w:val="24"/>
                <w:szCs w:val="24"/>
                <w:lang w:eastAsia="en-IN"/>
              </w:rPr>
              <w:t>, cloud security</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Enables enterprise/regulated verticals</w:t>
            </w:r>
          </w:p>
        </w:tc>
      </w:tr>
    </w:tbl>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Table 3: Market Structure, Demographics, and Strategic Outlook (2025–2030)</w:t>
      </w:r>
    </w:p>
    <w:tbl>
      <w:tblPr>
        <w:tblW w:w="0" w:type="auto"/>
        <w:tblCellSpacing w:w="15" w:type="dxa"/>
        <w:tblCellMar>
          <w:left w:w="0" w:type="dxa"/>
          <w:right w:w="0" w:type="dxa"/>
        </w:tblCellMar>
        <w:tblLook w:val="04A0"/>
      </w:tblPr>
      <w:tblGrid>
        <w:gridCol w:w="1701"/>
        <w:gridCol w:w="1674"/>
        <w:gridCol w:w="1698"/>
        <w:gridCol w:w="1583"/>
        <w:gridCol w:w="2820"/>
      </w:tblGrid>
      <w:tr w:rsidR="001D1DCF" w:rsidRPr="001D1DCF" w:rsidTr="001D1DCF">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Aspect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Key Data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Pattern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Strategic Implication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Generational/Demographic Impact</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CRM Market Size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$101.4B (2024) → $262.74B (2032), 12.8% CAGR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Consolidation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Scale, platform integration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Gen Z/</w:t>
            </w:r>
            <w:proofErr w:type="spellStart"/>
            <w:r w:rsidRPr="001D1DCF">
              <w:rPr>
                <w:rFonts w:ascii="Times New Roman" w:eastAsia="Times New Roman" w:hAnsi="Times New Roman" w:cs="Times New Roman"/>
                <w:color w:val="1B1C1D"/>
                <w:sz w:val="24"/>
                <w:szCs w:val="24"/>
                <w:lang w:eastAsia="en-IN"/>
              </w:rPr>
              <w:t>Millennials</w:t>
            </w:r>
            <w:proofErr w:type="spellEnd"/>
            <w:r w:rsidRPr="001D1DCF">
              <w:rPr>
                <w:rFonts w:ascii="Times New Roman" w:eastAsia="Times New Roman" w:hAnsi="Times New Roman" w:cs="Times New Roman"/>
                <w:color w:val="1B1C1D"/>
                <w:sz w:val="24"/>
                <w:szCs w:val="24"/>
                <w:lang w:eastAsia="en-IN"/>
              </w:rPr>
              <w:t xml:space="preserve"> demand mobile, AI, ESG</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Direct Selling Market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$223.82B (2024) → $328.26B (2030), 6.7% CAGR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Fragmentation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Niche, creator economy, social commerce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Micro-entrepreneurs, gig/creator rivalry</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MLM Software Market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$1.51B (2023) → $3.72B (2032), 10.7% CAGR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Consolidation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Advanced automation, compliance tools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APAC leads (45.4% share, 7.3% CAGR)</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Regional Growth</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Asia-Pacific: 45.4% share, 7.3% CAGR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APAC dominance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Localization, tech leapfrogging</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Young, mobile-first, wellness focus</w:t>
            </w:r>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Demographic Shifts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Gen Z/</w:t>
            </w:r>
            <w:proofErr w:type="spellStart"/>
            <w:r w:rsidRPr="001D1DCF">
              <w:rPr>
                <w:rFonts w:ascii="Times New Roman" w:eastAsia="Times New Roman" w:hAnsi="Times New Roman" w:cs="Times New Roman"/>
                <w:color w:val="1B1C1D"/>
                <w:sz w:val="24"/>
                <w:szCs w:val="24"/>
                <w:lang w:eastAsia="en-IN"/>
              </w:rPr>
              <w:t>Millennials</w:t>
            </w:r>
            <w:proofErr w:type="spellEnd"/>
            <w:r w:rsidRPr="001D1DCF">
              <w:rPr>
                <w:rFonts w:ascii="Times New Roman" w:eastAsia="Times New Roman" w:hAnsi="Times New Roman" w:cs="Times New Roman"/>
                <w:color w:val="1B1C1D"/>
                <w:sz w:val="24"/>
                <w:szCs w:val="24"/>
                <w:lang w:eastAsia="en-IN"/>
              </w:rPr>
              <w:t>: ESG, flexible income, AI</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Generational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Subscription, affiliate, hybrid models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Sustainability, transparency, </w:t>
            </w:r>
            <w:proofErr w:type="spellStart"/>
            <w:r w:rsidRPr="001D1DCF">
              <w:rPr>
                <w:rFonts w:ascii="Times New Roman" w:eastAsia="Times New Roman" w:hAnsi="Times New Roman" w:cs="Times New Roman"/>
                <w:color w:val="1B1C1D"/>
                <w:sz w:val="24"/>
                <w:szCs w:val="24"/>
                <w:lang w:eastAsia="en-IN"/>
              </w:rPr>
              <w:t>upskilling</w:t>
            </w:r>
            <w:proofErr w:type="spellEnd"/>
          </w:p>
        </w:tc>
      </w:tr>
      <w:tr w:rsidR="001D1DCF" w:rsidRPr="001D1DCF" w:rsidTr="001D1DCF">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Expert Outlook</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Data-driven, retail-first, ESG imperative</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Commerce shift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Revenue intelligence, creator tiers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1D1DCF" w:rsidRPr="001D1DCF" w:rsidRDefault="001D1DCF" w:rsidP="001D1DCF">
            <w:pPr>
              <w:spacing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Loyalty via values, digital experience</w:t>
            </w:r>
          </w:p>
        </w:tc>
      </w:tr>
    </w:tbl>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lastRenderedPageBreak/>
        <w:t>Transformation Process</w:t>
      </w:r>
    </w:p>
    <w:p w:rsidR="001D1DCF" w:rsidRPr="001D1DCF" w:rsidRDefault="001D1DCF" w:rsidP="001D1DCF">
      <w:pPr>
        <w:spacing w:before="100" w:beforeAutospacing="1" w:after="24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Data was filtered for adoption rates, market forecasts, and regulatory mandates. Trends were classified by their impact on automation, transparency, engagement, and personalization. Regulatory analysis compared constraint vs. advantage, highlighting how compliance can differentiate brands. Market structure was mapped against consolidation/fragmentation and demographic shifts, identifying actionable strategic priorities for 2025–2030.</w:t>
      </w:r>
    </w:p>
    <w:p w:rsidR="001D1DCF" w:rsidRPr="001D1DCF" w:rsidRDefault="001D1DCF" w:rsidP="001D1DCF">
      <w:pPr>
        <w:spacing w:before="100" w:beforeAutospacing="1" w:after="120" w:line="240" w:lineRule="auto"/>
        <w:outlineLvl w:val="1"/>
        <w:rPr>
          <w:rFonts w:ascii="Times New Roman" w:eastAsia="Times New Roman" w:hAnsi="Times New Roman" w:cs="Times New Roman"/>
          <w:b/>
          <w:bCs/>
          <w:color w:val="1B1C1D"/>
          <w:sz w:val="36"/>
          <w:szCs w:val="36"/>
          <w:lang w:eastAsia="en-IN"/>
        </w:rPr>
      </w:pPr>
      <w:r w:rsidRPr="001D1DCF">
        <w:rPr>
          <w:rFonts w:ascii="Times New Roman" w:eastAsia="Times New Roman" w:hAnsi="Times New Roman" w:cs="Times New Roman"/>
          <w:b/>
          <w:bCs/>
          <w:color w:val="1B1C1D"/>
          <w:sz w:val="36"/>
          <w:szCs w:val="36"/>
          <w:lang w:eastAsia="en-IN"/>
        </w:rPr>
        <w:t>Conclusion</w:t>
      </w:r>
    </w:p>
    <w:p w:rsidR="001D1DCF" w:rsidRPr="001D1DCF" w:rsidRDefault="001D1DCF" w:rsidP="001D1DCF">
      <w:pPr>
        <w:spacing w:before="100" w:beforeAutospacing="1" w:after="12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The most critical technology trends reshaping MLM-CRM integration are:</w:t>
      </w:r>
    </w:p>
    <w:p w:rsidR="001D1DCF" w:rsidRPr="001D1DCF" w:rsidRDefault="001D1DCF" w:rsidP="001D1DCF">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 xml:space="preserve">AI/Generative AI, </w:t>
      </w:r>
      <w:proofErr w:type="spellStart"/>
      <w:r w:rsidRPr="001D1DCF">
        <w:rPr>
          <w:rFonts w:ascii="Times New Roman" w:eastAsia="Times New Roman" w:hAnsi="Times New Roman" w:cs="Times New Roman"/>
          <w:b/>
          <w:bCs/>
          <w:color w:val="1B1C1D"/>
          <w:sz w:val="24"/>
          <w:szCs w:val="24"/>
          <w:bdr w:val="none" w:sz="0" w:space="0" w:color="auto" w:frame="1"/>
          <w:lang w:eastAsia="en-IN"/>
        </w:rPr>
        <w:t>Blockchain</w:t>
      </w:r>
      <w:proofErr w:type="spellEnd"/>
      <w:r w:rsidRPr="001D1DCF">
        <w:rPr>
          <w:rFonts w:ascii="Times New Roman" w:eastAsia="Times New Roman" w:hAnsi="Times New Roman" w:cs="Times New Roman"/>
          <w:b/>
          <w:bCs/>
          <w:color w:val="1B1C1D"/>
          <w:sz w:val="24"/>
          <w:szCs w:val="24"/>
          <w:bdr w:val="none" w:sz="0" w:space="0" w:color="auto" w:frame="1"/>
          <w:lang w:eastAsia="en-IN"/>
        </w:rPr>
        <w:t xml:space="preserve">, AR/VR, </w:t>
      </w:r>
      <w:proofErr w:type="spellStart"/>
      <w:r w:rsidRPr="001D1DCF">
        <w:rPr>
          <w:rFonts w:ascii="Times New Roman" w:eastAsia="Times New Roman" w:hAnsi="Times New Roman" w:cs="Times New Roman"/>
          <w:b/>
          <w:bCs/>
          <w:color w:val="1B1C1D"/>
          <w:sz w:val="24"/>
          <w:szCs w:val="24"/>
          <w:bdr w:val="none" w:sz="0" w:space="0" w:color="auto" w:frame="1"/>
          <w:lang w:eastAsia="en-IN"/>
        </w:rPr>
        <w:t>IoT</w:t>
      </w:r>
      <w:proofErr w:type="spellEnd"/>
      <w:r w:rsidRPr="001D1DCF">
        <w:rPr>
          <w:rFonts w:ascii="Times New Roman" w:eastAsia="Times New Roman" w:hAnsi="Times New Roman" w:cs="Times New Roman"/>
          <w:b/>
          <w:bCs/>
          <w:color w:val="1B1C1D"/>
          <w:sz w:val="24"/>
          <w:szCs w:val="24"/>
          <w:bdr w:val="none" w:sz="0" w:space="0" w:color="auto" w:frame="1"/>
          <w:lang w:eastAsia="en-IN"/>
        </w:rPr>
        <w:t xml:space="preserve"> &amp; Big Data, and Cloud Computing.</w:t>
      </w:r>
      <w:r w:rsidRPr="001D1DCF">
        <w:rPr>
          <w:rFonts w:ascii="Times New Roman" w:eastAsia="Times New Roman" w:hAnsi="Times New Roman" w:cs="Times New Roman"/>
          <w:color w:val="1B1C1D"/>
          <w:sz w:val="24"/>
          <w:szCs w:val="24"/>
          <w:lang w:eastAsia="en-IN"/>
        </w:rPr>
        <w:t xml:space="preserve"> These drive automation, trust, engagement, personalization, and scalability.</w:t>
      </w:r>
    </w:p>
    <w:p w:rsidR="001D1DCF" w:rsidRPr="001D1DCF" w:rsidRDefault="001D1DCF" w:rsidP="001D1DCF">
      <w:pPr>
        <w:spacing w:before="100" w:beforeAutospacing="1"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Regulatory compliance is increasingly a </w:t>
      </w:r>
      <w:r w:rsidRPr="001D1DCF">
        <w:rPr>
          <w:rFonts w:ascii="Times New Roman" w:eastAsia="Times New Roman" w:hAnsi="Times New Roman" w:cs="Times New Roman"/>
          <w:b/>
          <w:bCs/>
          <w:color w:val="1B1C1D"/>
          <w:sz w:val="24"/>
          <w:szCs w:val="24"/>
          <w:bdr w:val="none" w:sz="0" w:space="0" w:color="auto" w:frame="1"/>
          <w:lang w:eastAsia="en-IN"/>
        </w:rPr>
        <w:t>competitive advantage</w:t>
      </w:r>
      <w:r w:rsidRPr="001D1DCF">
        <w:rPr>
          <w:rFonts w:ascii="Times New Roman" w:eastAsia="Times New Roman" w:hAnsi="Times New Roman" w:cs="Times New Roman"/>
          <w:color w:val="1B1C1D"/>
          <w:sz w:val="24"/>
          <w:szCs w:val="24"/>
          <w:lang w:eastAsia="en-IN"/>
        </w:rPr>
        <w:t xml:space="preserve">, not just a constraint. Companies that proactively implement GDPR/CCPA, FTC, EU DSA, and UK Trading Schemes requirements—using AI for claim substantiation and </w:t>
      </w:r>
      <w:proofErr w:type="spellStart"/>
      <w:r w:rsidRPr="001D1DCF">
        <w:rPr>
          <w:rFonts w:ascii="Times New Roman" w:eastAsia="Times New Roman" w:hAnsi="Times New Roman" w:cs="Times New Roman"/>
          <w:color w:val="1B1C1D"/>
          <w:sz w:val="24"/>
          <w:szCs w:val="24"/>
          <w:lang w:eastAsia="en-IN"/>
        </w:rPr>
        <w:t>blockchain</w:t>
      </w:r>
      <w:proofErr w:type="spellEnd"/>
      <w:r w:rsidRPr="001D1DCF">
        <w:rPr>
          <w:rFonts w:ascii="Times New Roman" w:eastAsia="Times New Roman" w:hAnsi="Times New Roman" w:cs="Times New Roman"/>
          <w:color w:val="1B1C1D"/>
          <w:sz w:val="24"/>
          <w:szCs w:val="24"/>
          <w:lang w:eastAsia="en-IN"/>
        </w:rPr>
        <w:t xml:space="preserve"> for </w:t>
      </w:r>
      <w:proofErr w:type="spellStart"/>
      <w:r w:rsidRPr="001D1DCF">
        <w:rPr>
          <w:rFonts w:ascii="Times New Roman" w:eastAsia="Times New Roman" w:hAnsi="Times New Roman" w:cs="Times New Roman"/>
          <w:color w:val="1B1C1D"/>
          <w:sz w:val="24"/>
          <w:szCs w:val="24"/>
          <w:lang w:eastAsia="en-IN"/>
        </w:rPr>
        <w:t>auditability</w:t>
      </w:r>
      <w:proofErr w:type="spellEnd"/>
      <w:r w:rsidRPr="001D1DCF">
        <w:rPr>
          <w:rFonts w:ascii="Times New Roman" w:eastAsia="Times New Roman" w:hAnsi="Times New Roman" w:cs="Times New Roman"/>
          <w:color w:val="1B1C1D"/>
          <w:sz w:val="24"/>
          <w:szCs w:val="24"/>
          <w:lang w:eastAsia="en-IN"/>
        </w:rPr>
        <w:t>—win trust, reduce risk, and unlock new markets.</w:t>
      </w:r>
    </w:p>
    <w:p w:rsidR="001D1DCF" w:rsidRPr="001D1DCF" w:rsidRDefault="001D1DCF" w:rsidP="001D1DCF">
      <w:pPr>
        <w:spacing w:before="100" w:beforeAutospacing="1" w:after="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Market consolidation is visible among top CRM/MLM vendors, but fragmentation persists via niche platforms and the rise of the creator economy. Asia-Pacific leads growth, and generational shifts (Gen Z/</w:t>
      </w:r>
      <w:proofErr w:type="spellStart"/>
      <w:r w:rsidRPr="001D1DCF">
        <w:rPr>
          <w:rFonts w:ascii="Times New Roman" w:eastAsia="Times New Roman" w:hAnsi="Times New Roman" w:cs="Times New Roman"/>
          <w:color w:val="1B1C1D"/>
          <w:sz w:val="24"/>
          <w:szCs w:val="24"/>
          <w:lang w:eastAsia="en-IN"/>
        </w:rPr>
        <w:t>Millennials</w:t>
      </w:r>
      <w:proofErr w:type="spellEnd"/>
      <w:r w:rsidRPr="001D1DCF">
        <w:rPr>
          <w:rFonts w:ascii="Times New Roman" w:eastAsia="Times New Roman" w:hAnsi="Times New Roman" w:cs="Times New Roman"/>
          <w:color w:val="1B1C1D"/>
          <w:sz w:val="24"/>
          <w:szCs w:val="24"/>
          <w:lang w:eastAsia="en-IN"/>
        </w:rPr>
        <w:t xml:space="preserve">) are driving demand for </w:t>
      </w:r>
      <w:r w:rsidRPr="001D1DCF">
        <w:rPr>
          <w:rFonts w:ascii="Times New Roman" w:eastAsia="Times New Roman" w:hAnsi="Times New Roman" w:cs="Times New Roman"/>
          <w:b/>
          <w:bCs/>
          <w:color w:val="1B1C1D"/>
          <w:sz w:val="24"/>
          <w:szCs w:val="24"/>
          <w:bdr w:val="none" w:sz="0" w:space="0" w:color="auto" w:frame="1"/>
          <w:lang w:eastAsia="en-IN"/>
        </w:rPr>
        <w:t>mobile-first, ESG-aligned, subscription-based, and hybrid affiliate-MLM business models.</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The 3–5 Year Outlook for Successful MLM-CRM Integration Strategies is:</w:t>
      </w:r>
    </w:p>
    <w:p w:rsidR="001D1DCF" w:rsidRPr="001D1DCF" w:rsidRDefault="001D1DCF" w:rsidP="001D1DCF">
      <w:pPr>
        <w:numPr>
          <w:ilvl w:val="0"/>
          <w:numId w:val="2"/>
        </w:numPr>
        <w:spacing w:before="100" w:beforeAutospacing="1" w:after="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Compliance-first, data-driven commerce:</w:t>
      </w:r>
      <w:r w:rsidRPr="001D1DCF">
        <w:rPr>
          <w:rFonts w:ascii="Times New Roman" w:eastAsia="Times New Roman" w:hAnsi="Times New Roman" w:cs="Times New Roman"/>
          <w:color w:val="1B1C1D"/>
          <w:sz w:val="24"/>
          <w:szCs w:val="24"/>
          <w:lang w:eastAsia="en-IN"/>
        </w:rPr>
        <w:t xml:space="preserve"> AI-powered automation, zero-party data, and public dashboards for income and privacy.</w:t>
      </w:r>
    </w:p>
    <w:p w:rsidR="001D1DCF" w:rsidRPr="001D1DCF" w:rsidRDefault="001D1DCF" w:rsidP="001D1DCF">
      <w:pPr>
        <w:numPr>
          <w:ilvl w:val="0"/>
          <w:numId w:val="2"/>
        </w:numPr>
        <w:spacing w:before="100" w:beforeAutospacing="1" w:after="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Retail-centric, personalized engagement:</w:t>
      </w:r>
      <w:r w:rsidRPr="001D1DCF">
        <w:rPr>
          <w:rFonts w:ascii="Times New Roman" w:eastAsia="Times New Roman" w:hAnsi="Times New Roman" w:cs="Times New Roman"/>
          <w:color w:val="1B1C1D"/>
          <w:sz w:val="24"/>
          <w:szCs w:val="24"/>
          <w:lang w:eastAsia="en-IN"/>
        </w:rPr>
        <w:t xml:space="preserve"> AR/VR, </w:t>
      </w:r>
      <w:proofErr w:type="spellStart"/>
      <w:r w:rsidRPr="001D1DCF">
        <w:rPr>
          <w:rFonts w:ascii="Times New Roman" w:eastAsia="Times New Roman" w:hAnsi="Times New Roman" w:cs="Times New Roman"/>
          <w:color w:val="1B1C1D"/>
          <w:sz w:val="24"/>
          <w:szCs w:val="24"/>
          <w:lang w:eastAsia="en-IN"/>
        </w:rPr>
        <w:t>IoT</w:t>
      </w:r>
      <w:proofErr w:type="spellEnd"/>
      <w:r w:rsidRPr="001D1DCF">
        <w:rPr>
          <w:rFonts w:ascii="Times New Roman" w:eastAsia="Times New Roman" w:hAnsi="Times New Roman" w:cs="Times New Roman"/>
          <w:color w:val="1B1C1D"/>
          <w:sz w:val="24"/>
          <w:szCs w:val="24"/>
          <w:lang w:eastAsia="en-IN"/>
        </w:rPr>
        <w:t>, and big data for immersive customer experiences and predictive analytics.</w:t>
      </w:r>
    </w:p>
    <w:p w:rsidR="001D1DCF" w:rsidRPr="001D1DCF" w:rsidRDefault="001D1DCF" w:rsidP="001D1DCF">
      <w:pPr>
        <w:numPr>
          <w:ilvl w:val="0"/>
          <w:numId w:val="2"/>
        </w:numPr>
        <w:spacing w:before="100" w:beforeAutospacing="1" w:after="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ESG and sustainability as loyalty drivers:</w:t>
      </w:r>
      <w:r w:rsidRPr="001D1DCF">
        <w:rPr>
          <w:rFonts w:ascii="Times New Roman" w:eastAsia="Times New Roman" w:hAnsi="Times New Roman" w:cs="Times New Roman"/>
          <w:color w:val="1B1C1D"/>
          <w:sz w:val="24"/>
          <w:szCs w:val="24"/>
          <w:lang w:eastAsia="en-IN"/>
        </w:rPr>
        <w:t xml:space="preserve"> Transparent supply </w:t>
      </w:r>
      <w:proofErr w:type="gramStart"/>
      <w:r w:rsidRPr="001D1DCF">
        <w:rPr>
          <w:rFonts w:ascii="Times New Roman" w:eastAsia="Times New Roman" w:hAnsi="Times New Roman" w:cs="Times New Roman"/>
          <w:color w:val="1B1C1D"/>
          <w:sz w:val="24"/>
          <w:szCs w:val="24"/>
          <w:lang w:eastAsia="en-IN"/>
        </w:rPr>
        <w:t>chains,</w:t>
      </w:r>
      <w:proofErr w:type="gramEnd"/>
      <w:r w:rsidRPr="001D1DCF">
        <w:rPr>
          <w:rFonts w:ascii="Times New Roman" w:eastAsia="Times New Roman" w:hAnsi="Times New Roman" w:cs="Times New Roman"/>
          <w:color w:val="1B1C1D"/>
          <w:sz w:val="24"/>
          <w:szCs w:val="24"/>
          <w:lang w:eastAsia="en-IN"/>
        </w:rPr>
        <w:t xml:space="preserve"> recycled packaging, and measurable ESG outputs.</w:t>
      </w:r>
    </w:p>
    <w:p w:rsidR="001D1DCF" w:rsidRPr="001D1DCF" w:rsidRDefault="001D1DCF" w:rsidP="001D1DCF">
      <w:pPr>
        <w:numPr>
          <w:ilvl w:val="0"/>
          <w:numId w:val="2"/>
        </w:numPr>
        <w:spacing w:before="100" w:beforeAutospacing="1" w:after="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b/>
          <w:bCs/>
          <w:color w:val="1B1C1D"/>
          <w:sz w:val="24"/>
          <w:szCs w:val="24"/>
          <w:bdr w:val="none" w:sz="0" w:space="0" w:color="auto" w:frame="1"/>
          <w:lang w:eastAsia="en-IN"/>
        </w:rPr>
        <w:t>Creator economy partnerships:</w:t>
      </w:r>
      <w:r w:rsidRPr="001D1DCF">
        <w:rPr>
          <w:rFonts w:ascii="Times New Roman" w:eastAsia="Times New Roman" w:hAnsi="Times New Roman" w:cs="Times New Roman"/>
          <w:color w:val="1B1C1D"/>
          <w:sz w:val="24"/>
          <w:szCs w:val="24"/>
          <w:lang w:eastAsia="en-IN"/>
        </w:rPr>
        <w:t xml:space="preserve"> Affiliate tiers, influencer integration, and social commerce enablement.</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Strategic Priorities for Industry Leaders:</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Embed AI and automation in all field and compliance processes.</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Treat regulatory compliance as a brand asset—public dashboards, automated monitoring, and transparent compensation.</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Accelerate mobile-first, social commerce, and creator partnerships.</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 xml:space="preserve">Invest in </w:t>
      </w:r>
      <w:proofErr w:type="spellStart"/>
      <w:r w:rsidRPr="001D1DCF">
        <w:rPr>
          <w:rFonts w:ascii="Times New Roman" w:eastAsia="Times New Roman" w:hAnsi="Times New Roman" w:cs="Times New Roman"/>
          <w:color w:val="1B1C1D"/>
          <w:sz w:val="24"/>
          <w:szCs w:val="24"/>
          <w:lang w:eastAsia="en-IN"/>
        </w:rPr>
        <w:t>blockchain</w:t>
      </w:r>
      <w:proofErr w:type="spellEnd"/>
      <w:r w:rsidRPr="001D1DCF">
        <w:rPr>
          <w:rFonts w:ascii="Times New Roman" w:eastAsia="Times New Roman" w:hAnsi="Times New Roman" w:cs="Times New Roman"/>
          <w:color w:val="1B1C1D"/>
          <w:sz w:val="24"/>
          <w:szCs w:val="24"/>
          <w:lang w:eastAsia="en-IN"/>
        </w:rPr>
        <w:t xml:space="preserve"> for payout transparency and </w:t>
      </w:r>
      <w:proofErr w:type="spellStart"/>
      <w:r w:rsidRPr="001D1DCF">
        <w:rPr>
          <w:rFonts w:ascii="Times New Roman" w:eastAsia="Times New Roman" w:hAnsi="Times New Roman" w:cs="Times New Roman"/>
          <w:color w:val="1B1C1D"/>
          <w:sz w:val="24"/>
          <w:szCs w:val="24"/>
          <w:lang w:eastAsia="en-IN"/>
        </w:rPr>
        <w:t>auditability</w:t>
      </w:r>
      <w:proofErr w:type="spellEnd"/>
      <w:r w:rsidRPr="001D1DCF">
        <w:rPr>
          <w:rFonts w:ascii="Times New Roman" w:eastAsia="Times New Roman" w:hAnsi="Times New Roman" w:cs="Times New Roman"/>
          <w:color w:val="1B1C1D"/>
          <w:sz w:val="24"/>
          <w:szCs w:val="24"/>
          <w:lang w:eastAsia="en-IN"/>
        </w:rPr>
        <w:t>.</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Prioritize ESG, sustainability, and values-driven branding.</w:t>
      </w:r>
    </w:p>
    <w:p w:rsidR="001D1DCF" w:rsidRPr="001D1DCF" w:rsidRDefault="001D1DCF" w:rsidP="001D1DCF">
      <w:pPr>
        <w:numPr>
          <w:ilvl w:val="0"/>
          <w:numId w:val="3"/>
        </w:numPr>
        <w:spacing w:before="100" w:beforeAutospacing="1" w:after="120" w:line="240" w:lineRule="auto"/>
        <w:ind w:left="0"/>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Continuously adapt to demographic and regional shifts, with APAC localization and Gen Z/Millennial engagement.</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lastRenderedPageBreak/>
        <w:t>Most Verified Vendors and Frameworks:</w:t>
      </w:r>
    </w:p>
    <w:p w:rsidR="001D1DCF" w:rsidRPr="001D1DCF" w:rsidRDefault="001D1DCF" w:rsidP="001D1DCF">
      <w:pPr>
        <w:spacing w:before="100" w:beforeAutospacing="1" w:after="240" w:line="240" w:lineRule="auto"/>
        <w:rPr>
          <w:rFonts w:ascii="Times New Roman" w:eastAsia="Times New Roman" w:hAnsi="Times New Roman" w:cs="Times New Roman"/>
          <w:color w:val="1B1C1D"/>
          <w:sz w:val="24"/>
          <w:szCs w:val="24"/>
          <w:lang w:eastAsia="en-IN"/>
        </w:rPr>
      </w:pPr>
      <w:proofErr w:type="spellStart"/>
      <w:proofErr w:type="gramStart"/>
      <w:r w:rsidRPr="001D1DCF">
        <w:rPr>
          <w:rFonts w:ascii="Times New Roman" w:eastAsia="Times New Roman" w:hAnsi="Times New Roman" w:cs="Times New Roman"/>
          <w:color w:val="1B1C1D"/>
          <w:sz w:val="24"/>
          <w:szCs w:val="24"/>
          <w:lang w:eastAsia="en-IN"/>
        </w:rPr>
        <w:t>Salesforce</w:t>
      </w:r>
      <w:proofErr w:type="spellEnd"/>
      <w:r w:rsidRPr="001D1DCF">
        <w:rPr>
          <w:rFonts w:ascii="Times New Roman" w:eastAsia="Times New Roman" w:hAnsi="Times New Roman" w:cs="Times New Roman"/>
          <w:color w:val="1B1C1D"/>
          <w:sz w:val="24"/>
          <w:szCs w:val="24"/>
          <w:lang w:eastAsia="en-IN"/>
        </w:rPr>
        <w:t xml:space="preserve">, </w:t>
      </w:r>
      <w:proofErr w:type="spellStart"/>
      <w:r w:rsidRPr="001D1DCF">
        <w:rPr>
          <w:rFonts w:ascii="Times New Roman" w:eastAsia="Times New Roman" w:hAnsi="Times New Roman" w:cs="Times New Roman"/>
          <w:color w:val="1B1C1D"/>
          <w:sz w:val="24"/>
          <w:szCs w:val="24"/>
          <w:lang w:eastAsia="en-IN"/>
        </w:rPr>
        <w:t>HubSpot</w:t>
      </w:r>
      <w:proofErr w:type="spellEnd"/>
      <w:r w:rsidRPr="001D1DCF">
        <w:rPr>
          <w:rFonts w:ascii="Times New Roman" w:eastAsia="Times New Roman" w:hAnsi="Times New Roman" w:cs="Times New Roman"/>
          <w:color w:val="1B1C1D"/>
          <w:sz w:val="24"/>
          <w:szCs w:val="24"/>
          <w:lang w:eastAsia="en-IN"/>
        </w:rPr>
        <w:t xml:space="preserve">, Amway, </w:t>
      </w:r>
      <w:proofErr w:type="spellStart"/>
      <w:r w:rsidRPr="001D1DCF">
        <w:rPr>
          <w:rFonts w:ascii="Times New Roman" w:eastAsia="Times New Roman" w:hAnsi="Times New Roman" w:cs="Times New Roman"/>
          <w:color w:val="1B1C1D"/>
          <w:sz w:val="24"/>
          <w:szCs w:val="24"/>
          <w:lang w:eastAsia="en-IN"/>
        </w:rPr>
        <w:t>Herbalife</w:t>
      </w:r>
      <w:proofErr w:type="spellEnd"/>
      <w:r w:rsidRPr="001D1DCF">
        <w:rPr>
          <w:rFonts w:ascii="Times New Roman" w:eastAsia="Times New Roman" w:hAnsi="Times New Roman" w:cs="Times New Roman"/>
          <w:color w:val="1B1C1D"/>
          <w:sz w:val="24"/>
          <w:szCs w:val="24"/>
          <w:lang w:eastAsia="en-IN"/>
        </w:rPr>
        <w:t xml:space="preserve">, </w:t>
      </w:r>
      <w:proofErr w:type="spellStart"/>
      <w:r w:rsidRPr="001D1DCF">
        <w:rPr>
          <w:rFonts w:ascii="Times New Roman" w:eastAsia="Times New Roman" w:hAnsi="Times New Roman" w:cs="Times New Roman"/>
          <w:color w:val="1B1C1D"/>
          <w:sz w:val="24"/>
          <w:szCs w:val="24"/>
          <w:lang w:eastAsia="en-IN"/>
        </w:rPr>
        <w:t>DirectScale</w:t>
      </w:r>
      <w:proofErr w:type="spellEnd"/>
      <w:r w:rsidRPr="001D1DCF">
        <w:rPr>
          <w:rFonts w:ascii="Times New Roman" w:eastAsia="Times New Roman" w:hAnsi="Times New Roman" w:cs="Times New Roman"/>
          <w:color w:val="1B1C1D"/>
          <w:sz w:val="24"/>
          <w:szCs w:val="24"/>
          <w:lang w:eastAsia="en-IN"/>
        </w:rPr>
        <w:t xml:space="preserve">, </w:t>
      </w:r>
      <w:proofErr w:type="spellStart"/>
      <w:r w:rsidRPr="001D1DCF">
        <w:rPr>
          <w:rFonts w:ascii="Times New Roman" w:eastAsia="Times New Roman" w:hAnsi="Times New Roman" w:cs="Times New Roman"/>
          <w:color w:val="1B1C1D"/>
          <w:sz w:val="24"/>
          <w:szCs w:val="24"/>
          <w:lang w:eastAsia="en-IN"/>
        </w:rPr>
        <w:t>Epixel</w:t>
      </w:r>
      <w:proofErr w:type="spellEnd"/>
      <w:r w:rsidRPr="001D1DCF">
        <w:rPr>
          <w:rFonts w:ascii="Times New Roman" w:eastAsia="Times New Roman" w:hAnsi="Times New Roman" w:cs="Times New Roman"/>
          <w:color w:val="1B1C1D"/>
          <w:sz w:val="24"/>
          <w:szCs w:val="24"/>
          <w:lang w:eastAsia="en-IN"/>
        </w:rPr>
        <w:t xml:space="preserve">, and </w:t>
      </w:r>
      <w:proofErr w:type="spellStart"/>
      <w:r w:rsidRPr="001D1DCF">
        <w:rPr>
          <w:rFonts w:ascii="Times New Roman" w:eastAsia="Times New Roman" w:hAnsi="Times New Roman" w:cs="Times New Roman"/>
          <w:color w:val="1B1C1D"/>
          <w:sz w:val="24"/>
          <w:szCs w:val="24"/>
          <w:lang w:eastAsia="en-IN"/>
        </w:rPr>
        <w:t>MuleSoft</w:t>
      </w:r>
      <w:proofErr w:type="spellEnd"/>
      <w:r w:rsidRPr="001D1DCF">
        <w:rPr>
          <w:rFonts w:ascii="Times New Roman" w:eastAsia="Times New Roman" w:hAnsi="Times New Roman" w:cs="Times New Roman"/>
          <w:color w:val="1B1C1D"/>
          <w:sz w:val="24"/>
          <w:szCs w:val="24"/>
          <w:lang w:eastAsia="en-IN"/>
        </w:rPr>
        <w:t xml:space="preserve"> (API-led, ESB, event-driven integration).</w:t>
      </w:r>
      <w:proofErr w:type="gramEnd"/>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Limitations:</w:t>
      </w:r>
    </w:p>
    <w:p w:rsidR="001D1DCF" w:rsidRPr="001D1DCF" w:rsidRDefault="001D1DCF" w:rsidP="001D1DCF">
      <w:pPr>
        <w:spacing w:before="100" w:beforeAutospacing="1" w:after="24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No direct case studies on multi-level commission logic, but all required architectural patterns and strategic imperatives are validated by market data, regulatory analysis, and expert opinion.</w:t>
      </w:r>
    </w:p>
    <w:p w:rsidR="001D1DCF" w:rsidRPr="001D1DCF" w:rsidRDefault="001D1DCF" w:rsidP="001D1DCF">
      <w:pPr>
        <w:spacing w:before="100" w:beforeAutospacing="1" w:after="120" w:line="240" w:lineRule="auto"/>
        <w:outlineLvl w:val="2"/>
        <w:rPr>
          <w:rFonts w:ascii="Times New Roman" w:eastAsia="Times New Roman" w:hAnsi="Times New Roman" w:cs="Times New Roman"/>
          <w:b/>
          <w:bCs/>
          <w:color w:val="1B1C1D"/>
          <w:sz w:val="27"/>
          <w:szCs w:val="27"/>
          <w:lang w:eastAsia="en-IN"/>
        </w:rPr>
      </w:pPr>
      <w:r w:rsidRPr="001D1DCF">
        <w:rPr>
          <w:rFonts w:ascii="Times New Roman" w:eastAsia="Times New Roman" w:hAnsi="Times New Roman" w:cs="Times New Roman"/>
          <w:b/>
          <w:bCs/>
          <w:color w:val="1B1C1D"/>
          <w:sz w:val="27"/>
          <w:szCs w:val="27"/>
          <w:lang w:eastAsia="en-IN"/>
        </w:rPr>
        <w:t>Action:</w:t>
      </w:r>
    </w:p>
    <w:p w:rsidR="001D1DCF" w:rsidRPr="001D1DCF" w:rsidRDefault="001D1DCF" w:rsidP="001D1DCF">
      <w:pPr>
        <w:spacing w:before="100" w:beforeAutospacing="1" w:after="24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t>MLM platforms must prioritize AI-driven compliance, immersive engagement, ESG, and creator economy integration to lead through 2030.</w:t>
      </w:r>
    </w:p>
    <w:p w:rsidR="001D1DCF" w:rsidRPr="001D1DCF" w:rsidRDefault="001D1DCF" w:rsidP="001D1DCF">
      <w:pPr>
        <w:spacing w:after="120" w:line="240" w:lineRule="auto"/>
        <w:rPr>
          <w:rFonts w:ascii="Times New Roman" w:eastAsia="Times New Roman" w:hAnsi="Times New Roman" w:cs="Times New Roman"/>
          <w:color w:val="1B1C1D"/>
          <w:sz w:val="24"/>
          <w:szCs w:val="24"/>
          <w:lang w:eastAsia="en-IN"/>
        </w:rPr>
      </w:pPr>
      <w:r w:rsidRPr="001D1DCF">
        <w:rPr>
          <w:rFonts w:ascii="Times New Roman" w:eastAsia="Times New Roman" w:hAnsi="Times New Roman" w:cs="Times New Roman"/>
          <w:color w:val="1B1C1D"/>
          <w:sz w:val="24"/>
          <w:szCs w:val="24"/>
          <w:lang w:eastAsia="en-IN"/>
        </w:rPr>
        <w:pict>
          <v:rect id="_x0000_i1025" style="width:0;height:1.5pt" o:hralign="center" o:hrstd="t" o:hrnoshade="t" o:hr="t" fillcolor="#1b1c1d" stroked="f"/>
        </w:pict>
      </w:r>
    </w:p>
    <w:p w:rsidR="00912BE6" w:rsidRDefault="00912BE6"/>
    <w:sectPr w:rsidR="00912BE6" w:rsidSect="00912BE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502A80"/>
    <w:multiLevelType w:val="multilevel"/>
    <w:tmpl w:val="74B49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FA308A"/>
    <w:multiLevelType w:val="multilevel"/>
    <w:tmpl w:val="CDE2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4C3569"/>
    <w:multiLevelType w:val="multilevel"/>
    <w:tmpl w:val="1ECE2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1DCF"/>
    <w:rsid w:val="001D1DCF"/>
    <w:rsid w:val="00912BE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BE6"/>
  </w:style>
  <w:style w:type="paragraph" w:styleId="Heading1">
    <w:name w:val="heading 1"/>
    <w:basedOn w:val="Normal"/>
    <w:link w:val="Heading1Char"/>
    <w:uiPriority w:val="9"/>
    <w:qFormat/>
    <w:rsid w:val="001D1D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1D1DC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1D1DC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DCF"/>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1D1DCF"/>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1D1DCF"/>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1D1DCF"/>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98181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1077</Words>
  <Characters>6142</Characters>
  <Application>Microsoft Office Word</Application>
  <DocSecurity>0</DocSecurity>
  <Lines>51</Lines>
  <Paragraphs>14</Paragraphs>
  <ScaleCrop>false</ScaleCrop>
  <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2025-09-26T09:53:00Z</dcterms:created>
  <dcterms:modified xsi:type="dcterms:W3CDTF">2025-09-26T09:55:00Z</dcterms:modified>
</cp:coreProperties>
</file>